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F854C8" w14:textId="77777777" w:rsidR="00674DE5" w:rsidRDefault="00674DE5" w:rsidP="00C32715">
      <w:pPr>
        <w:jc w:val="center"/>
        <w:rPr>
          <w:rFonts w:ascii="Times New Roman" w:eastAsia="ＭＳ ゴシック" w:hAnsi="Times New Roman" w:cs="Times New Roman"/>
          <w:b/>
          <w:bCs/>
          <w:sz w:val="28"/>
          <w:szCs w:val="28"/>
        </w:rPr>
      </w:pPr>
      <w:r w:rsidRPr="00674DE5">
        <w:rPr>
          <w:rFonts w:ascii="Times New Roman" w:eastAsia="ＭＳ ゴシック" w:hAnsi="Times New Roman" w:cs="Times New Roman" w:hint="eastAsia"/>
          <w:b/>
          <w:bCs/>
          <w:sz w:val="28"/>
          <w:szCs w:val="28"/>
        </w:rPr>
        <w:t>酸化グラフェンの多機能性から応用</w:t>
      </w:r>
    </w:p>
    <w:p w14:paraId="14D94F4E" w14:textId="77777777" w:rsidR="00C32715" w:rsidRDefault="00C32715" w:rsidP="00C32715">
      <w:pPr>
        <w:jc w:val="center"/>
        <w:rPr>
          <w:rFonts w:ascii="Times New Roman" w:eastAsia="ＭＳ ゴシック" w:hAnsi="Times New Roman" w:cs="Times New Roman"/>
        </w:rPr>
      </w:pPr>
      <w:r>
        <w:rPr>
          <w:rFonts w:ascii="Times New Roman" w:eastAsia="ＭＳ ゴシック" w:hAnsi="Times New Roman" w:cs="Times New Roman" w:hint="eastAsia"/>
        </w:rPr>
        <w:t>速水　真也</w:t>
      </w:r>
    </w:p>
    <w:p w14:paraId="6FC42439" w14:textId="77777777" w:rsidR="00C32715" w:rsidRPr="00C32715" w:rsidRDefault="00C32715" w:rsidP="00C32715">
      <w:pPr>
        <w:jc w:val="center"/>
        <w:rPr>
          <w:rFonts w:ascii="Times New Roman" w:eastAsia="ＭＳ ゴシック" w:hAnsi="Times New Roman" w:cs="Times New Roman"/>
        </w:rPr>
      </w:pPr>
      <w:r>
        <w:rPr>
          <w:rFonts w:ascii="Times New Roman" w:eastAsia="ＭＳ ゴシック" w:hAnsi="Times New Roman" w:cs="Times New Roman" w:hint="eastAsia"/>
        </w:rPr>
        <w:t>熊本大学大学院先端科学研究部</w:t>
      </w:r>
    </w:p>
    <w:p w14:paraId="52AE8416" w14:textId="77777777" w:rsidR="00C32715" w:rsidRPr="00C32715" w:rsidRDefault="00C32715" w:rsidP="00C32715">
      <w:pPr>
        <w:jc w:val="center"/>
        <w:rPr>
          <w:rFonts w:ascii="Times New Roman" w:eastAsia="ＭＳ ゴシック" w:hAnsi="Times New Roman" w:cs="Times New Roman"/>
        </w:rPr>
      </w:pPr>
      <w:r w:rsidRPr="00C32715">
        <w:rPr>
          <w:rFonts w:ascii="Times New Roman" w:eastAsia="ＭＳ ゴシック" w:hAnsi="Times New Roman" w:cs="Times New Roman"/>
        </w:rPr>
        <w:t>Email: hayami@kumamoto-u.ac.jp</w:t>
      </w:r>
    </w:p>
    <w:p w14:paraId="0C0E10B2" w14:textId="77777777" w:rsidR="00F26EB0" w:rsidRDefault="00F26EB0" w:rsidP="00F26EB0">
      <w:pPr>
        <w:rPr>
          <w:rFonts w:ascii="Times New Roman" w:eastAsia="ＭＳ ゴシック" w:hAnsi="Times New Roman" w:cs="Times New Roman"/>
        </w:rPr>
      </w:pPr>
    </w:p>
    <w:p w14:paraId="12A321D5" w14:textId="77777777" w:rsidR="00D353CC" w:rsidRDefault="00F6500A" w:rsidP="00F26EB0">
      <w:pPr>
        <w:rPr>
          <w:rFonts w:ascii="Times New Roman" w:eastAsia="ＭＳ ゴシック" w:hAnsi="Times New Roman" w:cs="Times New Roman"/>
        </w:rPr>
      </w:pPr>
      <w:r w:rsidRPr="00F6500A">
        <w:rPr>
          <w:noProof/>
        </w:rPr>
        <w:drawing>
          <wp:anchor distT="0" distB="0" distL="114300" distR="114300" simplePos="0" relativeHeight="251659264" behindDoc="0" locked="0" layoutInCell="1" allowOverlap="1" wp14:anchorId="4AD2EC06" wp14:editId="18B57594">
            <wp:simplePos x="0" y="0"/>
            <wp:positionH relativeFrom="column">
              <wp:posOffset>1155</wp:posOffset>
            </wp:positionH>
            <wp:positionV relativeFrom="paragraph">
              <wp:posOffset>2513361</wp:posOffset>
            </wp:positionV>
            <wp:extent cx="5400040" cy="3145790"/>
            <wp:effectExtent l="0" t="0" r="0" b="0"/>
            <wp:wrapSquare wrapText="bothSides"/>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40" cy="3145790"/>
                    </a:xfrm>
                    <a:prstGeom prst="rect">
                      <a:avLst/>
                    </a:prstGeom>
                    <a:noFill/>
                    <a:ln>
                      <a:noFill/>
                    </a:ln>
                  </pic:spPr>
                </pic:pic>
              </a:graphicData>
            </a:graphic>
            <wp14:sizeRelH relativeFrom="page">
              <wp14:pctWidth>0</wp14:pctWidth>
            </wp14:sizeRelH>
            <wp14:sizeRelV relativeFrom="page">
              <wp14:pctHeight>0</wp14:pctHeight>
            </wp14:sizeRelV>
          </wp:anchor>
        </w:drawing>
      </w:r>
      <w:r w:rsidR="00C32715" w:rsidRPr="00C32715">
        <w:rPr>
          <w:rFonts w:ascii="Times New Roman" w:eastAsia="ＭＳ ゴシック" w:hAnsi="Times New Roman" w:cs="Times New Roman" w:hint="eastAsia"/>
        </w:rPr>
        <w:t>エネルギー問題、医療あるいは環境問題におけるイノベーションが渇望されているなか、炭素材料はメタルフリー、安価、軽量などの理由で非常に利用価値が高まってきている。</w:t>
      </w:r>
      <w:r w:rsidR="00C32715">
        <w:rPr>
          <w:rFonts w:ascii="Times New Roman" w:eastAsia="ＭＳ ゴシック" w:hAnsi="Times New Roman" w:cs="Times New Roman" w:hint="eastAsia"/>
        </w:rPr>
        <w:t>我々は</w:t>
      </w:r>
      <w:r w:rsidR="00C32715" w:rsidRPr="00C32715">
        <w:rPr>
          <w:rFonts w:ascii="Times New Roman" w:eastAsia="ＭＳ ゴシック" w:hAnsi="Times New Roman" w:cs="Times New Roman" w:hint="eastAsia"/>
        </w:rPr>
        <w:t>、炭素材料のなかでも酸化グラフェン（</w:t>
      </w:r>
      <w:r w:rsidR="00C32715" w:rsidRPr="00C32715">
        <w:rPr>
          <w:rFonts w:ascii="Times New Roman" w:eastAsia="ＭＳ ゴシック" w:hAnsi="Times New Roman" w:cs="Times New Roman"/>
        </w:rPr>
        <w:t>GO</w:t>
      </w:r>
      <w:r w:rsidR="00C32715" w:rsidRPr="00C32715">
        <w:rPr>
          <w:rFonts w:ascii="Times New Roman" w:eastAsia="ＭＳ ゴシック" w:hAnsi="Times New Roman" w:cs="Times New Roman"/>
        </w:rPr>
        <w:t>）をスーパーマテリアルと位置づけ着目している。元来グラフェンの作製は、粘着テープによって剥離・転写するという生産性・再現性に乏しい手法が用いられてきた。これに対し、</w:t>
      </w:r>
      <w:r w:rsidR="00C32715">
        <w:rPr>
          <w:rFonts w:ascii="Times New Roman" w:eastAsia="ＭＳ ゴシック" w:hAnsi="Times New Roman" w:cs="Times New Roman" w:hint="eastAsia"/>
        </w:rPr>
        <w:t>GO</w:t>
      </w:r>
      <w:r w:rsidR="00C32715">
        <w:rPr>
          <w:rFonts w:ascii="Times New Roman" w:eastAsia="ＭＳ ゴシック" w:hAnsi="Times New Roman" w:cs="Times New Roman" w:hint="eastAsia"/>
        </w:rPr>
        <w:t>を</w:t>
      </w:r>
      <w:r w:rsidR="00C32715" w:rsidRPr="00C32715">
        <w:rPr>
          <w:rFonts w:ascii="Times New Roman" w:eastAsia="ＭＳ ゴシック" w:hAnsi="Times New Roman" w:cs="Times New Roman"/>
        </w:rPr>
        <w:t>化学的単層剥離、電気化学的あるいはパルスプラズマにより合成することで、安価で大量に</w:t>
      </w:r>
      <w:r w:rsidR="00C32715" w:rsidRPr="00C32715">
        <w:rPr>
          <w:rFonts w:ascii="Times New Roman" w:eastAsia="ＭＳ ゴシック" w:hAnsi="Times New Roman" w:cs="Times New Roman"/>
        </w:rPr>
        <w:t>GO</w:t>
      </w:r>
      <w:r w:rsidR="00C32715" w:rsidRPr="00C32715">
        <w:rPr>
          <w:rFonts w:ascii="Times New Roman" w:eastAsia="ＭＳ ゴシック" w:hAnsi="Times New Roman" w:cs="Times New Roman"/>
        </w:rPr>
        <w:t>およびその還元体である</w:t>
      </w:r>
      <w:r w:rsidR="00C32715" w:rsidRPr="00C32715">
        <w:rPr>
          <w:rFonts w:ascii="Times New Roman" w:eastAsia="ＭＳ ゴシック" w:hAnsi="Times New Roman" w:cs="Times New Roman"/>
        </w:rPr>
        <w:t>rGO</w:t>
      </w:r>
      <w:r w:rsidR="00C32715" w:rsidRPr="00C32715">
        <w:rPr>
          <w:rFonts w:ascii="Times New Roman" w:eastAsia="ＭＳ ゴシック" w:hAnsi="Times New Roman" w:cs="Times New Roman" w:hint="eastAsia"/>
        </w:rPr>
        <w:t>の作製を可能にした。</w:t>
      </w:r>
      <w:r w:rsidR="00C32715">
        <w:rPr>
          <w:rFonts w:ascii="Times New Roman" w:eastAsia="ＭＳ ゴシック" w:hAnsi="Times New Roman" w:cs="Times New Roman" w:hint="eastAsia"/>
        </w:rPr>
        <w:t>我々</w:t>
      </w:r>
      <w:r w:rsidR="00C32715" w:rsidRPr="00C32715">
        <w:rPr>
          <w:rFonts w:ascii="Times New Roman" w:eastAsia="ＭＳ ゴシック" w:hAnsi="Times New Roman" w:cs="Times New Roman"/>
        </w:rPr>
        <w:t>の</w:t>
      </w:r>
      <w:r w:rsidR="00C32715">
        <w:rPr>
          <w:rFonts w:ascii="Times New Roman" w:eastAsia="ＭＳ ゴシック" w:hAnsi="Times New Roman" w:cs="Times New Roman" w:hint="eastAsia"/>
        </w:rPr>
        <w:t>研究</w:t>
      </w:r>
      <w:r w:rsidR="00C32715" w:rsidRPr="00C32715">
        <w:rPr>
          <w:rFonts w:ascii="Times New Roman" w:eastAsia="ＭＳ ゴシック" w:hAnsi="Times New Roman" w:cs="Times New Roman"/>
        </w:rPr>
        <w:t>目標は、</w:t>
      </w:r>
      <w:r w:rsidR="00C32715" w:rsidRPr="00C32715">
        <w:rPr>
          <w:rFonts w:ascii="Times New Roman" w:eastAsia="ＭＳ ゴシック" w:hAnsi="Times New Roman" w:cs="Times New Roman"/>
        </w:rPr>
        <w:t>GO</w:t>
      </w:r>
      <w:r w:rsidR="00C32715" w:rsidRPr="00C32715">
        <w:rPr>
          <w:rFonts w:ascii="Times New Roman" w:eastAsia="ＭＳ ゴシック" w:hAnsi="Times New Roman" w:cs="Times New Roman"/>
        </w:rPr>
        <w:t>、</w:t>
      </w:r>
      <w:r w:rsidR="00C32715" w:rsidRPr="00C32715">
        <w:rPr>
          <w:rFonts w:ascii="Times New Roman" w:eastAsia="ＭＳ ゴシック" w:hAnsi="Times New Roman" w:cs="Times New Roman"/>
        </w:rPr>
        <w:t>rGO</w:t>
      </w:r>
      <w:r w:rsidR="00C32715" w:rsidRPr="00C32715">
        <w:rPr>
          <w:rFonts w:ascii="Times New Roman" w:eastAsia="ＭＳ ゴシック" w:hAnsi="Times New Roman" w:cs="Times New Roman"/>
        </w:rPr>
        <w:t>およびそれらのハイブリッド材料の特性を精密に制御することにより、エネルギー、医療、環境</w:t>
      </w:r>
      <w:r w:rsidR="00C32715">
        <w:rPr>
          <w:rFonts w:ascii="Times New Roman" w:eastAsia="ＭＳ ゴシック" w:hAnsi="Times New Roman" w:cs="Times New Roman" w:hint="eastAsia"/>
        </w:rPr>
        <w:t>問題を国内の</w:t>
      </w:r>
      <w:r w:rsidR="00C32715" w:rsidRPr="00C32715">
        <w:rPr>
          <w:rFonts w:ascii="Times New Roman" w:eastAsia="ＭＳ ゴシック" w:hAnsi="Times New Roman" w:cs="Times New Roman"/>
        </w:rPr>
        <w:t>企業</w:t>
      </w:r>
      <w:r w:rsidR="00C32715">
        <w:rPr>
          <w:rFonts w:ascii="Times New Roman" w:eastAsia="ＭＳ ゴシック" w:hAnsi="Times New Roman" w:cs="Times New Roman" w:hint="eastAsia"/>
        </w:rPr>
        <w:t>とともに</w:t>
      </w:r>
      <w:r w:rsidR="00C32715" w:rsidRPr="00C32715">
        <w:rPr>
          <w:rFonts w:ascii="Times New Roman" w:eastAsia="ＭＳ ゴシック" w:hAnsi="Times New Roman" w:cs="Times New Roman"/>
        </w:rPr>
        <w:t>研究開発および技術創発</w:t>
      </w:r>
      <w:r w:rsidR="00C32715">
        <w:rPr>
          <w:rFonts w:ascii="Times New Roman" w:eastAsia="ＭＳ ゴシック" w:hAnsi="Times New Roman" w:cs="Times New Roman" w:hint="eastAsia"/>
        </w:rPr>
        <w:t>することである</w:t>
      </w:r>
      <w:r w:rsidR="00C32715" w:rsidRPr="00C32715">
        <w:rPr>
          <w:rFonts w:ascii="Times New Roman" w:eastAsia="ＭＳ ゴシック" w:hAnsi="Times New Roman" w:cs="Times New Roman"/>
        </w:rPr>
        <w:t>。また</w:t>
      </w:r>
      <w:r w:rsidR="00C32715" w:rsidRPr="00C32715">
        <w:rPr>
          <w:rFonts w:ascii="Times New Roman" w:eastAsia="ＭＳ ゴシック" w:hAnsi="Times New Roman" w:cs="Times New Roman"/>
        </w:rPr>
        <w:t>GO</w:t>
      </w:r>
      <w:r w:rsidR="00C32715" w:rsidRPr="00C32715">
        <w:rPr>
          <w:rFonts w:ascii="Times New Roman" w:eastAsia="ＭＳ ゴシック" w:hAnsi="Times New Roman" w:cs="Times New Roman"/>
        </w:rPr>
        <w:t>および</w:t>
      </w:r>
      <w:r w:rsidR="00C32715" w:rsidRPr="00C32715">
        <w:rPr>
          <w:rFonts w:ascii="Times New Roman" w:eastAsia="ＭＳ ゴシック" w:hAnsi="Times New Roman" w:cs="Times New Roman"/>
        </w:rPr>
        <w:t>rGO</w:t>
      </w:r>
      <w:r w:rsidR="00C32715" w:rsidRPr="00C32715">
        <w:rPr>
          <w:rFonts w:ascii="Times New Roman" w:eastAsia="ＭＳ ゴシック" w:hAnsi="Times New Roman" w:cs="Times New Roman"/>
        </w:rPr>
        <w:t>は実用性の極めて高い材料であり、</w:t>
      </w:r>
      <w:r w:rsidR="00C32715" w:rsidRPr="00C32715">
        <w:rPr>
          <w:rFonts w:ascii="Times New Roman" w:eastAsia="ＭＳ ゴシック" w:hAnsi="Times New Roman" w:cs="Times New Roman" w:hint="eastAsia"/>
        </w:rPr>
        <w:t>国内産業の発展に</w:t>
      </w:r>
      <w:r w:rsidR="00C32715">
        <w:rPr>
          <w:rFonts w:ascii="Times New Roman" w:eastAsia="ＭＳ ゴシック" w:hAnsi="Times New Roman" w:cs="Times New Roman" w:hint="eastAsia"/>
        </w:rPr>
        <w:t>真に</w:t>
      </w:r>
      <w:r w:rsidR="00C32715" w:rsidRPr="00C32715">
        <w:rPr>
          <w:rFonts w:ascii="Times New Roman" w:eastAsia="ＭＳ ゴシック" w:hAnsi="Times New Roman" w:cs="Times New Roman" w:hint="eastAsia"/>
        </w:rPr>
        <w:t>寄与する。</w:t>
      </w:r>
    </w:p>
    <w:p w14:paraId="17559F74" w14:textId="77777777" w:rsidR="00F26EB0" w:rsidRPr="00F26EB0" w:rsidRDefault="00F26EB0" w:rsidP="00F26EB0">
      <w:pPr>
        <w:rPr>
          <w:rFonts w:ascii="Times New Roman" w:eastAsia="ＭＳ ゴシック" w:hAnsi="Times New Roman" w:cs="Times New Roman"/>
        </w:rPr>
      </w:pPr>
    </w:p>
    <w:sectPr w:rsidR="00F26EB0" w:rsidRPr="00F26EB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1772C1"/>
    <w:multiLevelType w:val="hybridMultilevel"/>
    <w:tmpl w:val="A4D28284"/>
    <w:lvl w:ilvl="0" w:tplc="E6A03900">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715"/>
    <w:rsid w:val="003068C5"/>
    <w:rsid w:val="00674DE5"/>
    <w:rsid w:val="009B5279"/>
    <w:rsid w:val="00C32715"/>
    <w:rsid w:val="00D353CC"/>
    <w:rsid w:val="00F26EB0"/>
    <w:rsid w:val="00F650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DF60B34"/>
  <w15:chartTrackingRefBased/>
  <w15:docId w15:val="{DD3DAFD6-0E3B-4684-BE3C-B369E5EED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D353CC"/>
    <w:pPr>
      <w:ind w:leftChars="400" w:left="960"/>
    </w:pPr>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422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Words>
  <Characters>390</Characters>
  <Application>Microsoft Office Word</Application>
  <DocSecurity>4</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真也 速水</dc:creator>
  <cp:keywords/>
  <dc:description/>
  <cp:lastModifiedBy>柳生純哉</cp:lastModifiedBy>
  <cp:revision>2</cp:revision>
  <dcterms:created xsi:type="dcterms:W3CDTF">2020-11-12T04:15:00Z</dcterms:created>
  <dcterms:modified xsi:type="dcterms:W3CDTF">2020-11-12T04:15:00Z</dcterms:modified>
</cp:coreProperties>
</file>